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5AC1B" w14:textId="77777777" w:rsidR="00325D04" w:rsidRPr="00325D04" w:rsidRDefault="00325D04" w:rsidP="00325D04">
      <w:pPr>
        <w:jc w:val="center"/>
        <w:rPr>
          <w:rFonts w:ascii="Verdana" w:hAnsi="Verdana"/>
          <w:b/>
          <w:bCs/>
          <w:sz w:val="20"/>
          <w:szCs w:val="20"/>
        </w:rPr>
      </w:pPr>
      <w:r w:rsidRPr="00325D04">
        <w:rPr>
          <w:rFonts w:ascii="Verdana" w:hAnsi="Verdana"/>
          <w:b/>
          <w:bCs/>
          <w:sz w:val="20"/>
          <w:szCs w:val="20"/>
        </w:rPr>
        <w:t>ANEXO II</w:t>
      </w:r>
    </w:p>
    <w:p w14:paraId="64D86B89" w14:textId="77777777" w:rsidR="00325D04" w:rsidRPr="00325D04" w:rsidRDefault="00325D04" w:rsidP="00325D04">
      <w:pPr>
        <w:jc w:val="center"/>
        <w:rPr>
          <w:rFonts w:ascii="Verdana" w:hAnsi="Verdana"/>
          <w:b/>
          <w:bCs/>
          <w:sz w:val="20"/>
          <w:szCs w:val="20"/>
        </w:rPr>
      </w:pPr>
      <w:r w:rsidRPr="00325D04">
        <w:rPr>
          <w:rFonts w:ascii="Verdana" w:hAnsi="Verdana"/>
          <w:b/>
          <w:bCs/>
          <w:sz w:val="20"/>
          <w:szCs w:val="20"/>
        </w:rPr>
        <w:t>Instruções para preenchimento do DEUCP</w:t>
      </w:r>
    </w:p>
    <w:p w14:paraId="5DA25DE7" w14:textId="77777777" w:rsidR="00325D04" w:rsidRPr="00325D04" w:rsidRDefault="00325D04" w:rsidP="00325D04">
      <w:pPr>
        <w:numPr>
          <w:ilvl w:val="0"/>
          <w:numId w:val="1"/>
        </w:numPr>
        <w:contextualSpacing/>
        <w:rPr>
          <w:rFonts w:ascii="Verdana" w:hAnsi="Verdana"/>
          <w:sz w:val="20"/>
          <w:szCs w:val="20"/>
        </w:rPr>
      </w:pPr>
      <w:r w:rsidRPr="00325D04">
        <w:rPr>
          <w:rFonts w:ascii="Verdana" w:hAnsi="Verdana"/>
          <w:sz w:val="20"/>
          <w:szCs w:val="20"/>
        </w:rPr>
        <w:t xml:space="preserve">O DEUCP, de formato eletrónico, deve ser obtido na área específica do Portal da Comissão Europeia, em </w:t>
      </w:r>
      <w:hyperlink r:id="rId5" w:history="1">
        <w:r w:rsidRPr="00325D04">
          <w:rPr>
            <w:rFonts w:ascii="Verdana" w:hAnsi="Verdana"/>
            <w:color w:val="0563C1" w:themeColor="hyperlink"/>
            <w:sz w:val="20"/>
            <w:szCs w:val="20"/>
            <w:u w:val="single"/>
          </w:rPr>
          <w:t>https://ec.europa.eu/growth/tools-databases/espd/filter?lang=pt</w:t>
        </w:r>
      </w:hyperlink>
    </w:p>
    <w:p w14:paraId="38F95FC7" w14:textId="77777777" w:rsidR="00325D04" w:rsidRPr="00325D04" w:rsidRDefault="00325D04" w:rsidP="00325D04">
      <w:pPr>
        <w:ind w:left="360"/>
        <w:contextualSpacing/>
        <w:jc w:val="both"/>
        <w:rPr>
          <w:rFonts w:ascii="Verdana" w:hAnsi="Verdana"/>
          <w:sz w:val="20"/>
          <w:szCs w:val="20"/>
        </w:rPr>
      </w:pPr>
    </w:p>
    <w:p w14:paraId="51DC2E9B" w14:textId="77777777" w:rsidR="00325D04" w:rsidRPr="00325D04" w:rsidRDefault="00325D04" w:rsidP="00325D04">
      <w:pPr>
        <w:numPr>
          <w:ilvl w:val="0"/>
          <w:numId w:val="1"/>
        </w:numPr>
        <w:contextualSpacing/>
        <w:jc w:val="both"/>
        <w:rPr>
          <w:rFonts w:ascii="Verdana" w:hAnsi="Verdana"/>
          <w:sz w:val="20"/>
          <w:szCs w:val="20"/>
        </w:rPr>
      </w:pPr>
      <w:r w:rsidRPr="00325D04">
        <w:rPr>
          <w:rFonts w:ascii="Verdana" w:hAnsi="Verdana"/>
          <w:sz w:val="20"/>
          <w:szCs w:val="20"/>
        </w:rPr>
        <w:t>Selecionar “Sou um operador económico”, “Importar um DEUCP” e clicar “Escolher ficheiro”, após o que deve navegar no explorador de ficheiros até à localização do ficheiro “espd-request.xml”</w:t>
      </w:r>
    </w:p>
    <w:p w14:paraId="06F4DDEF" w14:textId="77777777" w:rsidR="00325D04" w:rsidRPr="00325D04" w:rsidRDefault="00325D04" w:rsidP="00325D04">
      <w:pPr>
        <w:jc w:val="both"/>
        <w:rPr>
          <w:rFonts w:ascii="Verdana" w:hAnsi="Verdana"/>
          <w:sz w:val="20"/>
          <w:szCs w:val="20"/>
        </w:rPr>
      </w:pPr>
    </w:p>
    <w:p w14:paraId="7AF2C355" w14:textId="77777777" w:rsidR="00325D04" w:rsidRPr="00325D04" w:rsidRDefault="00325D04" w:rsidP="00325D04">
      <w:pPr>
        <w:numPr>
          <w:ilvl w:val="0"/>
          <w:numId w:val="1"/>
        </w:numPr>
        <w:contextualSpacing/>
        <w:jc w:val="both"/>
        <w:rPr>
          <w:rFonts w:ascii="Verdana" w:hAnsi="Verdana"/>
          <w:sz w:val="20"/>
          <w:szCs w:val="20"/>
        </w:rPr>
      </w:pPr>
      <w:r w:rsidRPr="00325D04">
        <w:rPr>
          <w:rFonts w:ascii="Verdana" w:hAnsi="Verdana"/>
          <w:sz w:val="20"/>
          <w:szCs w:val="20"/>
        </w:rPr>
        <w:t>Uma vez carregado o ficheiro, selecionar “Portugal” na caixa “Selecionar país” e clicar “Seguinte”.</w:t>
      </w:r>
    </w:p>
    <w:p w14:paraId="4E3C85D8" w14:textId="77777777" w:rsidR="00325D04" w:rsidRPr="00325D04" w:rsidRDefault="00325D04" w:rsidP="00325D04">
      <w:pPr>
        <w:jc w:val="both"/>
        <w:rPr>
          <w:rFonts w:ascii="Verdana" w:hAnsi="Verdana"/>
          <w:sz w:val="20"/>
          <w:szCs w:val="20"/>
        </w:rPr>
      </w:pPr>
    </w:p>
    <w:p w14:paraId="02E793F4" w14:textId="77777777" w:rsidR="00325D04" w:rsidRPr="00325D04" w:rsidRDefault="00325D04" w:rsidP="00325D04">
      <w:pPr>
        <w:numPr>
          <w:ilvl w:val="0"/>
          <w:numId w:val="1"/>
        </w:numPr>
        <w:contextualSpacing/>
        <w:jc w:val="both"/>
        <w:rPr>
          <w:rFonts w:ascii="Verdana" w:hAnsi="Verdana"/>
          <w:sz w:val="20"/>
          <w:szCs w:val="20"/>
        </w:rPr>
      </w:pPr>
      <w:r w:rsidRPr="00325D04">
        <w:rPr>
          <w:rFonts w:ascii="Verdana" w:hAnsi="Verdana"/>
          <w:sz w:val="20"/>
          <w:szCs w:val="20"/>
        </w:rPr>
        <w:t>Na Parte II [Informações sobre o operador económico], preencher os blocos A, B e C e clicar em “Seguinte”.</w:t>
      </w:r>
    </w:p>
    <w:p w14:paraId="09239B03" w14:textId="77777777" w:rsidR="00325D04" w:rsidRPr="00325D04" w:rsidRDefault="00325D04" w:rsidP="00325D04">
      <w:pPr>
        <w:jc w:val="both"/>
        <w:rPr>
          <w:rFonts w:ascii="Verdana" w:hAnsi="Verdana"/>
          <w:sz w:val="20"/>
          <w:szCs w:val="20"/>
        </w:rPr>
      </w:pPr>
    </w:p>
    <w:p w14:paraId="35FE6B61" w14:textId="77777777" w:rsidR="00325D04" w:rsidRPr="00325D04" w:rsidRDefault="00325D04" w:rsidP="00325D04">
      <w:pPr>
        <w:numPr>
          <w:ilvl w:val="0"/>
          <w:numId w:val="1"/>
        </w:numPr>
        <w:contextualSpacing/>
        <w:jc w:val="both"/>
        <w:rPr>
          <w:rFonts w:ascii="Verdana" w:hAnsi="Verdana"/>
          <w:sz w:val="20"/>
          <w:szCs w:val="20"/>
        </w:rPr>
      </w:pPr>
      <w:r w:rsidRPr="00325D04">
        <w:rPr>
          <w:rFonts w:ascii="Verdana" w:hAnsi="Verdana"/>
          <w:sz w:val="20"/>
          <w:szCs w:val="20"/>
        </w:rPr>
        <w:t>Na Parte III [Motivos de exclusão], responder às questões dos blocos A, B e C e clicar em “Seguinte”.</w:t>
      </w:r>
    </w:p>
    <w:p w14:paraId="7C6A35ED" w14:textId="77777777" w:rsidR="00325D04" w:rsidRPr="00325D04" w:rsidRDefault="00325D04" w:rsidP="00325D04">
      <w:pPr>
        <w:jc w:val="both"/>
        <w:rPr>
          <w:rFonts w:ascii="Verdana" w:hAnsi="Verdana"/>
          <w:sz w:val="20"/>
          <w:szCs w:val="20"/>
        </w:rPr>
      </w:pPr>
    </w:p>
    <w:p w14:paraId="11A3C3E1" w14:textId="77777777" w:rsidR="00325D04" w:rsidRPr="00325D04" w:rsidRDefault="00325D04" w:rsidP="00325D04">
      <w:pPr>
        <w:numPr>
          <w:ilvl w:val="0"/>
          <w:numId w:val="1"/>
        </w:numPr>
        <w:contextualSpacing/>
        <w:jc w:val="both"/>
        <w:rPr>
          <w:rFonts w:ascii="Verdana" w:hAnsi="Verdana"/>
          <w:sz w:val="20"/>
          <w:szCs w:val="20"/>
        </w:rPr>
      </w:pPr>
      <w:r w:rsidRPr="00325D04">
        <w:rPr>
          <w:rFonts w:ascii="Verdana" w:hAnsi="Verdana"/>
          <w:sz w:val="20"/>
          <w:szCs w:val="20"/>
        </w:rPr>
        <w:t>Preencher somente a Parte VI [Declarações finais], clicar em “Exportar”, guardar o ficheiro “espd-response.xml”, imprimir o documento em formato PDF e guardá-lo com a designação referida no ponto 6.1.4.</w:t>
      </w:r>
    </w:p>
    <w:p w14:paraId="529E4F1A" w14:textId="77777777" w:rsidR="00325D04" w:rsidRPr="00325D04" w:rsidRDefault="00325D04" w:rsidP="00325D04">
      <w:pPr>
        <w:jc w:val="both"/>
        <w:rPr>
          <w:rFonts w:ascii="Verdana" w:hAnsi="Verdana"/>
          <w:sz w:val="20"/>
          <w:szCs w:val="20"/>
        </w:rPr>
      </w:pPr>
    </w:p>
    <w:p w14:paraId="1E4D7369" w14:textId="77777777" w:rsidR="00325D04" w:rsidRPr="00325D04" w:rsidRDefault="00325D04" w:rsidP="00325D04">
      <w:pPr>
        <w:numPr>
          <w:ilvl w:val="0"/>
          <w:numId w:val="1"/>
        </w:numPr>
        <w:contextualSpacing/>
        <w:jc w:val="both"/>
        <w:rPr>
          <w:rFonts w:ascii="Verdana" w:hAnsi="Verdana"/>
          <w:sz w:val="20"/>
          <w:szCs w:val="20"/>
        </w:rPr>
      </w:pPr>
      <w:r w:rsidRPr="00325D04">
        <w:rPr>
          <w:rFonts w:ascii="Verdana" w:hAnsi="Verdana"/>
          <w:sz w:val="20"/>
          <w:szCs w:val="20"/>
        </w:rPr>
        <w:t>Anexar o ficheiro criado no ponto anterior aos documentos a submeter no procedimento.</w:t>
      </w:r>
    </w:p>
    <w:p w14:paraId="545611EC" w14:textId="77777777" w:rsidR="000A0644" w:rsidRDefault="000A0644"/>
    <w:sectPr w:rsidR="000A0644">
      <w:headerReference w:type="default" r:id="rId6"/>
      <w:footerReference w:type="even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68671" w14:textId="77777777" w:rsidR="00447B90" w:rsidRDefault="00325D0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5BA08AAB" w14:textId="77777777" w:rsidR="00447B90" w:rsidRDefault="00325D04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44CE6" w14:textId="77777777" w:rsidR="00447B90" w:rsidRDefault="00325D0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7</w:t>
    </w:r>
    <w:r>
      <w:rPr>
        <w:rStyle w:val="Nmerodepgina"/>
      </w:rPr>
      <w:fldChar w:fldCharType="end"/>
    </w:r>
  </w:p>
  <w:p w14:paraId="0016CD7A" w14:textId="77777777" w:rsidR="00447B90" w:rsidRDefault="00325D04" w:rsidP="00A048AD">
    <w:pPr>
      <w:pStyle w:val="Rodap"/>
      <w:ind w:right="360"/>
      <w:rPr>
        <w:rFonts w:ascii="Century Gothic" w:hAnsi="Century Gothic"/>
        <w:b/>
        <w:smallCaps/>
        <w:sz w:val="18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4A41" w14:textId="77777777" w:rsidR="00F25485" w:rsidRPr="00F25485" w:rsidRDefault="00325D04" w:rsidP="00F25485">
    <w:pPr>
      <w:spacing w:after="0" w:line="240" w:lineRule="auto"/>
      <w:jc w:val="center"/>
      <w:rPr>
        <w:rFonts w:ascii="Times New Roman" w:eastAsia="Times New Roman" w:hAnsi="Times New Roman" w:cs="Times New Roman"/>
        <w:sz w:val="4"/>
        <w:szCs w:val="20"/>
        <w:lang w:eastAsia="pt-PT"/>
      </w:rPr>
    </w:pPr>
    <w:bookmarkStart w:id="0" w:name="_Hlk33180514"/>
    <w:r w:rsidRPr="00F25485">
      <w:rPr>
        <w:rFonts w:ascii="Times New Roman" w:eastAsia="Times New Roman" w:hAnsi="Times New Roman" w:cs="Times New Roman"/>
        <w:noProof/>
        <w:sz w:val="20"/>
        <w:szCs w:val="20"/>
        <w:lang w:eastAsia="pt-PT"/>
      </w:rPr>
      <w:drawing>
        <wp:inline distT="0" distB="0" distL="0" distR="0" wp14:anchorId="6B474CC0" wp14:editId="29585DDA">
          <wp:extent cx="1752600" cy="638175"/>
          <wp:effectExtent l="0" t="0" r="0" b="9525"/>
          <wp:docPr id="27" name="Picture 1" descr="logo_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9A618C" w14:textId="77777777" w:rsidR="00F25485" w:rsidRPr="00F25485" w:rsidRDefault="00325D04" w:rsidP="00F25485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12"/>
        <w:szCs w:val="20"/>
        <w:lang w:eastAsia="pt-PT"/>
      </w:rPr>
    </w:pPr>
    <w:r w:rsidRPr="00F25485">
      <w:rPr>
        <w:rFonts w:ascii="Times New Roman" w:eastAsia="Times New Roman" w:hAnsi="Times New Roman" w:cs="Times New Roman"/>
        <w:b/>
        <w:sz w:val="12"/>
        <w:szCs w:val="20"/>
        <w:lang w:eastAsia="pt-PT"/>
      </w:rPr>
      <w:t>DIRECÇÃO ADMINISTRATIVA E FINANCEIRA</w:t>
    </w:r>
  </w:p>
  <w:p w14:paraId="3E9D3211" w14:textId="77777777" w:rsidR="00F25485" w:rsidRPr="00F25485" w:rsidRDefault="00325D04" w:rsidP="00F25485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12"/>
        <w:szCs w:val="20"/>
        <w:lang w:eastAsia="pt-PT"/>
      </w:rPr>
    </w:pPr>
    <w:r w:rsidRPr="00F25485">
      <w:rPr>
        <w:rFonts w:ascii="Times New Roman" w:eastAsia="Times New Roman" w:hAnsi="Times New Roman" w:cs="Times New Roman"/>
        <w:b/>
        <w:sz w:val="12"/>
        <w:szCs w:val="20"/>
        <w:lang w:eastAsia="pt-PT"/>
      </w:rPr>
      <w:t>DIVISÃO DE APROVISIONAMENTO E PATRIMÓNIO</w:t>
    </w:r>
  </w:p>
  <w:bookmarkEnd w:id="0"/>
  <w:p w14:paraId="2F9699E8" w14:textId="77777777" w:rsidR="00447B90" w:rsidRDefault="00325D04">
    <w:pPr>
      <w:pStyle w:val="Legenda"/>
      <w:pBdr>
        <w:bottom w:val="single" w:sz="12" w:space="1" w:color="auto"/>
      </w:pBdr>
      <w:rPr>
        <w:rFonts w:ascii="Book Antiqua" w:hAnsi="Book Antiqua"/>
      </w:rPr>
    </w:pPr>
  </w:p>
  <w:p w14:paraId="3F9B2A0E" w14:textId="77777777" w:rsidR="00447B90" w:rsidRDefault="00325D04">
    <w:pPr>
      <w:pStyle w:val="Cabealho"/>
      <w:ind w:left="-567"/>
      <w:rPr>
        <w:i/>
        <w:smallCaps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807C20"/>
    <w:multiLevelType w:val="hybridMultilevel"/>
    <w:tmpl w:val="31A4C844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D04"/>
    <w:rsid w:val="000A0644"/>
    <w:rsid w:val="0032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3D0E2"/>
  <w15:chartTrackingRefBased/>
  <w15:docId w15:val="{80C041D5-4816-4ECD-AE81-26137E523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semiHidden/>
    <w:unhideWhenUsed/>
    <w:rsid w:val="00325D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325D04"/>
  </w:style>
  <w:style w:type="paragraph" w:styleId="Rodap">
    <w:name w:val="footer"/>
    <w:basedOn w:val="Normal"/>
    <w:link w:val="RodapCarter"/>
    <w:uiPriority w:val="99"/>
    <w:semiHidden/>
    <w:unhideWhenUsed/>
    <w:rsid w:val="00325D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325D04"/>
  </w:style>
  <w:style w:type="paragraph" w:styleId="Legenda">
    <w:name w:val="caption"/>
    <w:basedOn w:val="Normal"/>
    <w:next w:val="Normal"/>
    <w:uiPriority w:val="35"/>
    <w:semiHidden/>
    <w:unhideWhenUsed/>
    <w:qFormat/>
    <w:rsid w:val="00325D0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Nmerodepgina">
    <w:name w:val="page number"/>
    <w:basedOn w:val="Tipodeletrapredefinidodopargrafo"/>
    <w:rsid w:val="00325D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https://ec.europa.eu/growth/tools-databases/espd/filter?lang=p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919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Betâmio de Almeida</dc:creator>
  <cp:keywords/>
  <dc:description/>
  <cp:lastModifiedBy>Pedro Betâmio de Almeida</cp:lastModifiedBy>
  <cp:revision>1</cp:revision>
  <dcterms:created xsi:type="dcterms:W3CDTF">2022-11-28T10:44:00Z</dcterms:created>
  <dcterms:modified xsi:type="dcterms:W3CDTF">2022-11-28T10:45:00Z</dcterms:modified>
</cp:coreProperties>
</file>